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September, 2015</w:t>
      </w:r>
    </w:p>
    <w:p>
      <w:pPr>
        <w:spacing w:after="0" w:line="200" w:lineRule="exact"/>
        <w:rPr>
          <w:sz w:val="24"/>
          <w:szCs w:val="24"/>
          <w:color w:val="auto"/>
        </w:rPr>
      </w:pP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9"/>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45"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tabs>
          <w:tab w:leader="none" w:pos="5700" w:val="left"/>
        </w:tabs>
        <w:rPr>
          <w:sz w:val="20"/>
          <w:szCs w:val="20"/>
          <w:color w:val="auto"/>
        </w:rPr>
      </w:pPr>
      <w:r>
        <w:rPr>
          <w:rFonts w:ascii="Arial" w:cs="Arial" w:eastAsia="Arial" w:hAnsi="Arial"/>
          <w:sz w:val="18"/>
          <w:szCs w:val="18"/>
          <w:color w:val="auto"/>
        </w:rPr>
        <w:t>September 8, 2015</w:t>
      </w:r>
      <w:r>
        <w:rPr>
          <w:sz w:val="20"/>
          <w:szCs w:val="20"/>
          <w:color w:val="auto"/>
        </w:rPr>
        <w:tab/>
      </w:r>
      <w:r>
        <w:rPr>
          <w:rFonts w:ascii="Arial" w:cs="Arial" w:eastAsia="Arial" w:hAnsi="Arial"/>
          <w:sz w:val="17"/>
          <w:szCs w:val="17"/>
          <w:color w:val="auto"/>
        </w:rPr>
        <w:t>FOREIGN TRADE BANK OF LATIN AMERICA, INC.</w:t>
      </w:r>
    </w:p>
    <w:p>
      <w:pPr>
        <w:spacing w:after="0" w:line="200" w:lineRule="exact"/>
        <w:rPr>
          <w:sz w:val="20"/>
          <w:szCs w:val="20"/>
          <w:color w:val="auto"/>
        </w:rPr>
      </w:pPr>
    </w:p>
    <w:p>
      <w:pPr>
        <w:spacing w:after="0" w:line="241" w:lineRule="exact"/>
        <w:rPr>
          <w:sz w:val="20"/>
          <w:szCs w:val="20"/>
          <w:color w:val="auto"/>
        </w:rPr>
      </w:pPr>
    </w:p>
    <w:p>
      <w:pPr>
        <w:ind w:left="5720"/>
        <w:spacing w:after="0"/>
        <w:tabs>
          <w:tab w:leader="none" w:pos="6160" w:val="left"/>
        </w:tabs>
        <w:rPr>
          <w:sz w:val="20"/>
          <w:szCs w:val="20"/>
          <w:color w:val="auto"/>
        </w:rPr>
      </w:pPr>
      <w:r>
        <w:rPr>
          <w:rFonts w:ascii="Arial" w:cs="Arial" w:eastAsia="Arial" w:hAnsi="Arial"/>
          <w:sz w:val="18"/>
          <w:szCs w:val="18"/>
          <w:color w:val="auto"/>
        </w:rPr>
        <w:t>By:</w:t>
        <w:tab/>
        <w:t>/s/ Pierre Dulin</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Name: Pierre Dulin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3924300</wp:posOffset>
            </wp:positionH>
            <wp:positionV relativeFrom="paragraph">
              <wp:posOffset>-130810</wp:posOffset>
            </wp:positionV>
            <wp:extent cx="332740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327400" cy="8890"/>
                    </a:xfrm>
                    <a:prstGeom prst="rect">
                      <a:avLst/>
                    </a:prstGeom>
                    <a:noFill/>
                  </pic:spPr>
                </pic:pic>
              </a:graphicData>
            </a:graphic>
          </wp:anchor>
        </w:drawing>
      </w:r>
    </w:p>
    <w:p>
      <w:pPr>
        <w:spacing w:after="0" w:line="3" w:lineRule="exact"/>
        <w:rPr>
          <w:sz w:val="20"/>
          <w:szCs w:val="20"/>
          <w:color w:val="auto"/>
        </w:rPr>
      </w:pPr>
    </w:p>
    <w:p>
      <w:pPr>
        <w:ind w:left="6180"/>
        <w:spacing w:after="0"/>
        <w:tabs>
          <w:tab w:leader="none" w:pos="672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b w:val="1"/>
          <w:bCs w:val="1"/>
          <w:color w:val="auto"/>
        </w:rPr>
        <w:t>Exhibit 99.1</w:t>
      </w:r>
    </w:p>
    <w:p>
      <w:pPr>
        <w:spacing w:after="0" w:line="221"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158115</wp:posOffset>
            </wp:positionV>
            <wp:extent cx="1286510" cy="660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286510" cy="660400"/>
                    </a:xfrm>
                    <a:prstGeom prst="rect">
                      <a:avLst/>
                    </a:prstGeom>
                    <a:noFill/>
                  </pic:spPr>
                </pic:pic>
              </a:graphicData>
            </a:graphic>
          </wp:anchor>
        </w:drawing>
        <w:drawing>
          <wp:anchor simplePos="0" relativeHeight="251657728" behindDoc="1" locked="0" layoutInCell="0" allowOverlap="1">
            <wp:simplePos x="0" y="0"/>
            <wp:positionH relativeFrom="column">
              <wp:posOffset>5708015</wp:posOffset>
            </wp:positionH>
            <wp:positionV relativeFrom="paragraph">
              <wp:posOffset>337820</wp:posOffset>
            </wp:positionV>
            <wp:extent cx="1543685" cy="4800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543685" cy="4800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line="282" w:lineRule="auto"/>
        <w:rPr>
          <w:sz w:val="20"/>
          <w:szCs w:val="20"/>
          <w:color w:val="auto"/>
        </w:rPr>
      </w:pPr>
      <w:r>
        <w:rPr>
          <w:rFonts w:ascii="Arial" w:cs="Arial" w:eastAsia="Arial" w:hAnsi="Arial"/>
          <w:sz w:val="25"/>
          <w:szCs w:val="25"/>
          <w:b w:val="1"/>
          <w:bCs w:val="1"/>
          <w:color w:val="auto"/>
        </w:rPr>
        <w:t>Bladex and ICBC Peru act as Joint Lead Arrangers of a US$25 million, 3-year senior unsecured club loan for Banco Agropecuario S.A.</w:t>
      </w:r>
    </w:p>
    <w:p>
      <w:pPr>
        <w:spacing w:after="0" w:line="139"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September 8, 2015 </w:t>
      </w:r>
      <w:r>
        <w:rPr>
          <w:rFonts w:ascii="Arial" w:cs="Arial" w:eastAsia="Arial" w:hAnsi="Arial"/>
          <w:sz w:val="18"/>
          <w:szCs w:val="18"/>
          <w:color w:val="auto"/>
        </w:rPr>
        <w:t>- 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the recent closing of a US$25 million, 3-year term loan facility in favor of Banco Agropecuario S.A., (“Agrobanco”). Established in 2002 and owned by the government of Peru, Agrobanco’s main role is to support the agribusiness sector in Peru.</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Facility was structured as a club deal between Bladex and ICBC Perú Bank S.A. (“ICBC Peru”), which together acted as Joint Lead Arrangers. Bladex is also the Administrative Agent under the Facility.</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This transaction provides additional funding sources for Agrobanco and strengthens the bank´s relationships with ICBC Peru and Bladex. Proceeds will be used for general corporate purposes, supporting Agrobanco’s U.S. dollar funding requirements for 2015.</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Mr. Felipe Suarez, Executive Manager of Loan Structuring &amp; Distribution at Bladex, stated: “This important transaction continues to demonstrate Bladex’s commitment to supporting its clients in securing medium-term funding. We are pleased to be partnering up with ICBC Peru and delivering a timely solution to Agrobanco, to finance Peruvian agricultural trade related transactions.”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success of this transaction continues to demonstrate Bladex´s commitment to supporting its clients with tailor-made financing solutions.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and institutional and retail investors through its public listing.</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ICBC Peru Bank is a subsidiary of the Industrial and Commercial Bank of China Ltd. (ICBC), the largest commercial bank in China with a presence in 41 countries worldwide, and is the first Chinese-owned bank to be established in Peru, following the strategy launched by ICBC to expand its operations in the region to facilitate trade and investment with the member countries of the Asia-Pacific Economic Cooperation (APEC).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405765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3" w:name="page4"/>
    <w:bookmarkEnd w:id="3"/>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100570" cy="6686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00570" cy="668655"/>
                    </a:xfrm>
                    <a:prstGeom prst="rect">
                      <a:avLst/>
                    </a:prstGeom>
                    <a:noFill/>
                  </pic:spPr>
                </pic:pic>
              </a:graphicData>
            </a:graphic>
          </wp:anchor>
        </w:drawing>
      </w:r>
    </w:p>
    <w:p>
      <w:pPr>
        <w:spacing w:after="0" w:line="300" w:lineRule="exact"/>
        <w:rPr>
          <w:sz w:val="20"/>
          <w:szCs w:val="20"/>
          <w:color w:val="auto"/>
        </w:rPr>
      </w:pPr>
    </w:p>
    <w:p>
      <w:pPr>
        <w:ind w:left="12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Tel: (+507) 210-8630, E-mail address: cschech@bladex.com</w:t>
      </w:r>
    </w:p>
    <w:p>
      <w:pPr>
        <w:spacing w:after="0" w:line="9" w:lineRule="exact"/>
        <w:rPr>
          <w:sz w:val="20"/>
          <w:szCs w:val="20"/>
          <w:color w:val="auto"/>
        </w:rPr>
      </w:pPr>
    </w:p>
    <w:p>
      <w:pPr>
        <w:ind w:left="120" w:right="3139"/>
        <w:spacing w:after="0" w:line="261" w:lineRule="auto"/>
        <w:rPr>
          <w:sz w:val="20"/>
          <w:szCs w:val="20"/>
          <w:color w:val="auto"/>
        </w:rPr>
      </w:pPr>
      <w:r>
        <w:rPr>
          <w:rFonts w:ascii="Arial" w:cs="Arial" w:eastAsia="Arial" w:hAnsi="Arial"/>
          <w:sz w:val="18"/>
          <w:szCs w:val="18"/>
          <w:color w:val="auto"/>
        </w:rPr>
        <w:t>Bladex, Head Office, Torre V, Business Park, Avenida La Rotonda, Urbanización Costa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477520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19"/>
      </w:cols>
      <w:pgMar w:left="240" w:top="908"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2020-01-24T15:43:39Z</dcterms:created>
  <dcterms:modified xsi:type="dcterms:W3CDTF">2020-01-24T15:43:39Z</dcterms:modified>
</cp:coreProperties>
</file>